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E88" w:rsidRPr="00E4558C" w:rsidRDefault="00E4558C" w:rsidP="007F7AEA">
      <w:pPr>
        <w:spacing w:before="60" w:after="60"/>
        <w:ind w:firstLine="425"/>
        <w:jc w:val="center"/>
        <w:rPr>
          <w:b/>
        </w:rPr>
      </w:pPr>
      <w:r w:rsidRPr="00E4558C">
        <w:rPr>
          <w:b/>
        </w:rPr>
        <w:t>PHỤ LỤC</w:t>
      </w:r>
      <w:r w:rsidR="00F36847">
        <w:rPr>
          <w:b/>
        </w:rPr>
        <w:t xml:space="preserve"> I</w:t>
      </w:r>
    </w:p>
    <w:p w:rsidR="00536379" w:rsidRDefault="00EE33FA" w:rsidP="00EE33FA">
      <w:pPr>
        <w:spacing w:after="0"/>
        <w:ind w:firstLine="425"/>
        <w:jc w:val="center"/>
        <w:rPr>
          <w:b/>
          <w:i/>
        </w:rPr>
      </w:pPr>
      <w:r>
        <w:rPr>
          <w:b/>
          <w:i/>
        </w:rPr>
        <w:t xml:space="preserve">Đề cương chi tiết đánh giá </w:t>
      </w:r>
      <w:r w:rsidR="00DB0156">
        <w:rPr>
          <w:b/>
          <w:i/>
        </w:rPr>
        <w:t xml:space="preserve">thực tiễn thi hành pháp luật về thực hành </w:t>
      </w:r>
    </w:p>
    <w:p w:rsidR="00E4558C" w:rsidRPr="00AB13B0" w:rsidRDefault="00DB0156" w:rsidP="00EE33FA">
      <w:pPr>
        <w:spacing w:after="0"/>
        <w:ind w:firstLine="425"/>
        <w:jc w:val="center"/>
        <w:rPr>
          <w:b/>
          <w:i/>
        </w:rPr>
      </w:pPr>
      <w:r>
        <w:rPr>
          <w:b/>
          <w:i/>
        </w:rPr>
        <w:t xml:space="preserve">kinh doanh có trách nhiệm </w:t>
      </w:r>
    </w:p>
    <w:p w:rsidR="00E4558C" w:rsidRPr="00E4558C" w:rsidRDefault="00E4558C" w:rsidP="007F7AEA">
      <w:pPr>
        <w:spacing w:before="60" w:after="60"/>
        <w:ind w:firstLine="425"/>
        <w:jc w:val="center"/>
        <w:rPr>
          <w:i/>
        </w:rPr>
      </w:pPr>
      <w:r w:rsidRPr="00E4558C">
        <w:rPr>
          <w:i/>
        </w:rPr>
        <w:t xml:space="preserve">(Kèm theo Công văn số </w:t>
      </w:r>
      <w:r w:rsidR="0000366F">
        <w:rPr>
          <w:i/>
        </w:rPr>
        <w:t>2514</w:t>
      </w:r>
      <w:r w:rsidR="00EB2594">
        <w:rPr>
          <w:i/>
        </w:rPr>
        <w:t xml:space="preserve"> </w:t>
      </w:r>
      <w:r w:rsidRPr="00E4558C">
        <w:rPr>
          <w:i/>
        </w:rPr>
        <w:t>/BTP-PLDSKT</w:t>
      </w:r>
      <w:r>
        <w:rPr>
          <w:i/>
        </w:rPr>
        <w:t xml:space="preserve"> ngày </w:t>
      </w:r>
      <w:r w:rsidR="0000366F">
        <w:rPr>
          <w:i/>
        </w:rPr>
        <w:t>28</w:t>
      </w:r>
      <w:r w:rsidR="00D24387">
        <w:rPr>
          <w:i/>
        </w:rPr>
        <w:t>/</w:t>
      </w:r>
      <w:r w:rsidR="00DB0156">
        <w:rPr>
          <w:i/>
        </w:rPr>
        <w:t>7/2021</w:t>
      </w:r>
      <w:r w:rsidRPr="00E4558C">
        <w:rPr>
          <w:i/>
        </w:rPr>
        <w:t>)</w:t>
      </w:r>
    </w:p>
    <w:p w:rsidR="00D24387" w:rsidRPr="003533FC" w:rsidRDefault="003533FC" w:rsidP="003533FC">
      <w:pPr>
        <w:spacing w:after="0"/>
        <w:ind w:firstLine="425"/>
        <w:jc w:val="both"/>
      </w:pPr>
      <w:r w:rsidRPr="003533FC">
        <w:rPr>
          <w:b/>
        </w:rPr>
        <w:t>1.</w:t>
      </w:r>
      <w:r>
        <w:rPr>
          <w:b/>
        </w:rPr>
        <w:t xml:space="preserve"> </w:t>
      </w:r>
      <w:r w:rsidR="00D7196D" w:rsidRPr="003533FC">
        <w:rPr>
          <w:b/>
        </w:rPr>
        <w:t>Đánh giá chung v</w:t>
      </w:r>
      <w:r w:rsidR="00D24387" w:rsidRPr="003533FC">
        <w:rPr>
          <w:b/>
        </w:rPr>
        <w:t xml:space="preserve">ề sự đồng bộ, thống nhất trong quy định của pháp luật </w:t>
      </w:r>
      <w:r w:rsidR="00D24387" w:rsidRPr="009B18AE">
        <w:rPr>
          <w:b/>
        </w:rPr>
        <w:t xml:space="preserve">hiện hành và hiệu quả áp dụng pháp luật về </w:t>
      </w:r>
      <w:r w:rsidR="00DB0156" w:rsidRPr="009B18AE">
        <w:rPr>
          <w:b/>
        </w:rPr>
        <w:t>thực hành kinh doanh có trách nhiệm</w:t>
      </w:r>
    </w:p>
    <w:p w:rsidR="003533FC" w:rsidRDefault="003533FC" w:rsidP="003533FC">
      <w:pPr>
        <w:spacing w:after="0"/>
        <w:ind w:firstLine="425"/>
        <w:jc w:val="both"/>
      </w:pPr>
      <w:r>
        <w:t>1.1 Đề nghị liệt kê đầy đủ các quy định pháp luật liên quan đến thực hành kinh doanh có trách nhiệm thuộc thẩm quyền quản lý của Bộ, ngành (và lĩnh vực liên quan – nếu có).</w:t>
      </w:r>
    </w:p>
    <w:p w:rsidR="003533FC" w:rsidRPr="003533FC" w:rsidRDefault="003533FC" w:rsidP="003533FC">
      <w:pPr>
        <w:spacing w:after="0"/>
        <w:ind w:firstLine="425"/>
        <w:jc w:val="both"/>
      </w:pPr>
      <w:r>
        <w:t xml:space="preserve">1.2 Đánh giá tác động, ảnh hưởng và việc thực thi các quy định nêu trên (xin tham khảo Báo cáo đánh giá </w:t>
      </w:r>
      <w:r w:rsidRPr="003533FC">
        <w:t>sơ bộ Khung pháp lý của Việt Nam về thực hành kinh doanh có trách nhiệm</w:t>
      </w:r>
      <w:r>
        <w:t xml:space="preserve"> – kèm theo).</w:t>
      </w:r>
    </w:p>
    <w:p w:rsidR="00D7196D" w:rsidRPr="003533FC" w:rsidRDefault="00D7196D" w:rsidP="00D25852">
      <w:pPr>
        <w:spacing w:after="0"/>
        <w:ind w:firstLine="425"/>
        <w:jc w:val="both"/>
        <w:rPr>
          <w:b/>
        </w:rPr>
      </w:pPr>
      <w:r w:rsidRPr="003533FC">
        <w:rPr>
          <w:b/>
        </w:rPr>
        <w:t xml:space="preserve">2. Những bất cập, vướng mắc trong quy định của pháp luật </w:t>
      </w:r>
    </w:p>
    <w:p w:rsidR="00E47D15" w:rsidRDefault="00D7196D" w:rsidP="003533FC">
      <w:pPr>
        <w:spacing w:after="0"/>
        <w:ind w:firstLine="425"/>
        <w:jc w:val="both"/>
      </w:pPr>
      <w:r>
        <w:t>2.1</w:t>
      </w:r>
      <w:r w:rsidR="00DB0156">
        <w:t>.</w:t>
      </w:r>
      <w:r>
        <w:t xml:space="preserve"> Bất cập, vướng mắc trong bảo đảm sự đồng bộ, thống nhất, tính khả thi của hệ thống pháp luật về </w:t>
      </w:r>
      <w:r w:rsidR="00DB0156">
        <w:t>thực hành kinh doanh có trách nhiệm</w:t>
      </w:r>
      <w:r w:rsidR="003533FC" w:rsidRPr="003533FC">
        <w:rPr>
          <w:vertAlign w:val="superscript"/>
        </w:rPr>
        <w:footnoteReference w:id="1"/>
      </w:r>
      <w:r w:rsidR="003533FC">
        <w:t>:</w:t>
      </w:r>
    </w:p>
    <w:p w:rsidR="00D7196D" w:rsidRDefault="00D7196D" w:rsidP="003533FC">
      <w:pPr>
        <w:spacing w:after="0"/>
        <w:ind w:firstLine="425"/>
        <w:jc w:val="both"/>
      </w:pPr>
      <w:r>
        <w:t>2.2</w:t>
      </w:r>
      <w:r w:rsidR="00DB0156">
        <w:t>.</w:t>
      </w:r>
      <w:r>
        <w:t xml:space="preserve"> Những vấn đề pháp lý còn chưa được pháp luật quy định.</w:t>
      </w:r>
    </w:p>
    <w:p w:rsidR="00E4558C" w:rsidRPr="009B18AE" w:rsidRDefault="00D7196D" w:rsidP="003533FC">
      <w:pPr>
        <w:spacing w:after="0"/>
        <w:ind w:firstLine="425"/>
        <w:jc w:val="both"/>
        <w:rPr>
          <w:b/>
        </w:rPr>
      </w:pPr>
      <w:r w:rsidRPr="009B18AE">
        <w:rPr>
          <w:b/>
        </w:rPr>
        <w:t>3. Những bất cập, vướng mắc tro</w:t>
      </w:r>
      <w:bookmarkStart w:id="0" w:name="_GoBack"/>
      <w:bookmarkEnd w:id="0"/>
      <w:r w:rsidRPr="009B18AE">
        <w:rPr>
          <w:b/>
        </w:rPr>
        <w:t>ng áp dụng, thi hành pháp luật</w:t>
      </w:r>
    </w:p>
    <w:p w:rsidR="00E4558C" w:rsidRPr="003533FC" w:rsidRDefault="00DB0156" w:rsidP="003533FC">
      <w:pPr>
        <w:spacing w:after="0"/>
        <w:ind w:firstLine="425"/>
        <w:jc w:val="both"/>
      </w:pPr>
      <w:r>
        <w:t>3.1.</w:t>
      </w:r>
      <w:r w:rsidR="00EB2594">
        <w:t xml:space="preserve"> </w:t>
      </w:r>
      <w:r w:rsidR="00D7196D">
        <w:t>Bất cập,</w:t>
      </w:r>
      <w:r w:rsidR="00E4558C">
        <w:t xml:space="preserve"> vướng mắc trong </w:t>
      </w:r>
      <w:r w:rsidR="00D7196D">
        <w:t>thống nhất nhận thức</w:t>
      </w:r>
      <w:r w:rsidR="00E4558C">
        <w:t xml:space="preserve"> pháp luật về </w:t>
      </w:r>
      <w:r w:rsidRPr="003533FC">
        <w:t>thực hành kinh doanh có trách nhiệm tại Việ</w:t>
      </w:r>
      <w:r w:rsidR="0043174B" w:rsidRPr="003533FC">
        <w:t>t Nam</w:t>
      </w:r>
    </w:p>
    <w:p w:rsidR="00E4558C" w:rsidRDefault="00DB0156" w:rsidP="00D25852">
      <w:pPr>
        <w:spacing w:after="0"/>
        <w:ind w:firstLine="425"/>
        <w:jc w:val="both"/>
      </w:pPr>
      <w:r>
        <w:t xml:space="preserve">3.2. </w:t>
      </w:r>
      <w:r w:rsidR="007F7AEA">
        <w:t>Bất cập, vướng mắc trong quản lý</w:t>
      </w:r>
      <w:r w:rsidR="00E4558C">
        <w:t xml:space="preserve"> nhà nước </w:t>
      </w:r>
      <w:r w:rsidR="007F7AEA">
        <w:t>về</w:t>
      </w:r>
      <w:r w:rsidR="00F31DA7">
        <w:t xml:space="preserve"> </w:t>
      </w:r>
      <w:r>
        <w:t>thực hành kinh doanh có trách nhiệm</w:t>
      </w:r>
    </w:p>
    <w:p w:rsidR="00E4558C" w:rsidRDefault="00DB0156" w:rsidP="00D25852">
      <w:pPr>
        <w:spacing w:after="0"/>
        <w:ind w:firstLine="425"/>
        <w:jc w:val="both"/>
      </w:pPr>
      <w:r>
        <w:t>3.3.</w:t>
      </w:r>
      <w:r w:rsidR="00E4558C">
        <w:t xml:space="preserve"> Các vấn đề khác (nế</w:t>
      </w:r>
      <w:r w:rsidR="0043174B">
        <w:t>u có)</w:t>
      </w:r>
    </w:p>
    <w:p w:rsidR="007F7AEA" w:rsidRPr="003533FC" w:rsidRDefault="007F7AEA" w:rsidP="00D25852">
      <w:pPr>
        <w:spacing w:after="0"/>
        <w:ind w:firstLine="425"/>
        <w:jc w:val="both"/>
        <w:rPr>
          <w:b/>
        </w:rPr>
      </w:pPr>
      <w:r w:rsidRPr="003533FC">
        <w:rPr>
          <w:b/>
        </w:rPr>
        <w:t>4. Khuyến nghị và giải pháp</w:t>
      </w:r>
      <w:r w:rsidR="008E1615" w:rsidRPr="003533FC">
        <w:rPr>
          <w:b/>
        </w:rPr>
        <w:t xml:space="preserve"> nhằm thúc đấy thực hành kinh doanh có trách nhiệm tại Việt Nam</w:t>
      </w:r>
    </w:p>
    <w:p w:rsidR="007F7AEA" w:rsidRDefault="00DB0156" w:rsidP="00D25852">
      <w:pPr>
        <w:spacing w:after="0"/>
        <w:ind w:firstLine="425"/>
        <w:jc w:val="both"/>
      </w:pPr>
      <w:r>
        <w:t xml:space="preserve">4.1. </w:t>
      </w:r>
      <w:r w:rsidR="007F7AEA">
        <w:t>Khuyến nghị</w:t>
      </w:r>
      <w:r w:rsidR="00AB13B0">
        <w:t xml:space="preserve">, </w:t>
      </w:r>
      <w:r w:rsidR="007F7AEA">
        <w:t>giải pháp về xây dựng</w:t>
      </w:r>
      <w:r w:rsidR="00AB13B0">
        <w:t>,</w:t>
      </w:r>
      <w:r w:rsidR="007F7AEA">
        <w:t xml:space="preserve"> hoàn thiện pháp luậ</w:t>
      </w:r>
      <w:r w:rsidR="0043174B">
        <w:t>t</w:t>
      </w:r>
    </w:p>
    <w:p w:rsidR="007F7AEA" w:rsidRDefault="00DB0156" w:rsidP="00D25852">
      <w:pPr>
        <w:spacing w:after="0"/>
        <w:ind w:firstLine="425"/>
        <w:jc w:val="both"/>
      </w:pPr>
      <w:r>
        <w:t xml:space="preserve">4.2. </w:t>
      </w:r>
      <w:r w:rsidR="007F7AEA">
        <w:t>Khuyến nghị</w:t>
      </w:r>
      <w:r w:rsidR="00AB13B0">
        <w:t>,</w:t>
      </w:r>
      <w:r w:rsidR="007F7AEA">
        <w:t xml:space="preserve"> giải pháp về nâng cao hiệu quả </w:t>
      </w:r>
      <w:r w:rsidR="008E1615">
        <w:t>áp dụng, thi hành pháp luật</w:t>
      </w:r>
    </w:p>
    <w:p w:rsidR="00E4558C" w:rsidRDefault="00DB0156" w:rsidP="00D25852">
      <w:pPr>
        <w:spacing w:after="0"/>
        <w:ind w:firstLine="425"/>
        <w:jc w:val="both"/>
      </w:pPr>
      <w:r>
        <w:t xml:space="preserve">4.3. </w:t>
      </w:r>
      <w:r w:rsidR="007F7AEA">
        <w:t>Khuyến nghị</w:t>
      </w:r>
      <w:r w:rsidR="00AB13B0">
        <w:t>,</w:t>
      </w:r>
      <w:r w:rsidR="007F7AEA">
        <w:t xml:space="preserve"> giải pháp trong việc phát huy vai trò củ</w:t>
      </w:r>
      <w:r w:rsidR="0043174B">
        <w:t xml:space="preserve">a </w:t>
      </w:r>
      <w:r w:rsidR="00F31DA7">
        <w:t xml:space="preserve">các thiết chế giải quyết khiếu nại, tranh chấp (như </w:t>
      </w:r>
      <w:r w:rsidR="0043174B">
        <w:t>Tòa án</w:t>
      </w:r>
      <w:r w:rsidR="00F31DA7">
        <w:t>,</w:t>
      </w:r>
      <w:r w:rsidR="0043174B">
        <w:t xml:space="preserve"> các cơ quan tư pháp</w:t>
      </w:r>
      <w:r w:rsidR="00F31DA7">
        <w:t>, các cơ quan hành chính, trọng tài, hòa giải).</w:t>
      </w:r>
    </w:p>
    <w:p w:rsidR="003533FC" w:rsidRPr="003533FC" w:rsidRDefault="003533FC" w:rsidP="00D25852">
      <w:pPr>
        <w:spacing w:after="0"/>
        <w:ind w:firstLine="425"/>
        <w:jc w:val="both"/>
        <w:rPr>
          <w:b/>
        </w:rPr>
      </w:pPr>
      <w:r w:rsidRPr="003533FC">
        <w:rPr>
          <w:b/>
        </w:rPr>
        <w:t>5. Kết luận</w:t>
      </w:r>
    </w:p>
    <w:p w:rsidR="00E4558C" w:rsidRDefault="00E4558C" w:rsidP="00D25852">
      <w:pPr>
        <w:spacing w:after="0"/>
        <w:ind w:firstLine="425"/>
        <w:jc w:val="both"/>
      </w:pPr>
    </w:p>
    <w:sectPr w:rsidR="00E4558C" w:rsidSect="00AB13B0">
      <w:pgSz w:w="11907" w:h="16840" w:code="9"/>
      <w:pgMar w:top="1134" w:right="1134" w:bottom="426"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CA9" w:rsidRDefault="00DC2CA9" w:rsidP="003533FC">
      <w:pPr>
        <w:spacing w:after="0" w:line="240" w:lineRule="auto"/>
      </w:pPr>
      <w:r>
        <w:separator/>
      </w:r>
    </w:p>
  </w:endnote>
  <w:endnote w:type="continuationSeparator" w:id="0">
    <w:p w:rsidR="00DC2CA9" w:rsidRDefault="00DC2CA9" w:rsidP="00353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Segoe UI">
    <w:panose1 w:val="020B0502040204020203"/>
    <w:charset w:val="A3"/>
    <w:family w:val="swiss"/>
    <w:pitch w:val="variable"/>
    <w:sig w:usb0="E10022FF" w:usb1="C000E47F" w:usb2="00000029" w:usb3="00000000" w:csb0="000001D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CA9" w:rsidRDefault="00DC2CA9" w:rsidP="003533FC">
      <w:pPr>
        <w:spacing w:after="0" w:line="240" w:lineRule="auto"/>
      </w:pPr>
      <w:r>
        <w:separator/>
      </w:r>
    </w:p>
  </w:footnote>
  <w:footnote w:type="continuationSeparator" w:id="0">
    <w:p w:rsidR="00DC2CA9" w:rsidRDefault="00DC2CA9" w:rsidP="003533FC">
      <w:pPr>
        <w:spacing w:after="0" w:line="240" w:lineRule="auto"/>
      </w:pPr>
      <w:r>
        <w:continuationSeparator/>
      </w:r>
    </w:p>
  </w:footnote>
  <w:footnote w:id="1">
    <w:p w:rsidR="003533FC" w:rsidRDefault="003533FC" w:rsidP="003533FC">
      <w:pPr>
        <w:pStyle w:val="FootnoteText"/>
      </w:pPr>
      <w:r>
        <w:rPr>
          <w:rStyle w:val="FootnoteReference"/>
        </w:rPr>
        <w:footnoteRef/>
      </w:r>
      <w:r>
        <w:t xml:space="preserve"> Dự kiến tập trung vào một số lĩnh vực sau:</w:t>
      </w:r>
    </w:p>
    <w:p w:rsidR="003533FC" w:rsidRDefault="003533FC" w:rsidP="003533FC">
      <w:pPr>
        <w:pStyle w:val="FootnoteText"/>
        <w:jc w:val="both"/>
      </w:pPr>
      <w:r>
        <w:t>a) Các quy định pháp luật về quyền lao động: quan hệ lao động, điều kiện lao động, lao động cưỡng bức, buôn bán người, hôn nhân cưỡng ép, lao động trẻ em;</w:t>
      </w:r>
    </w:p>
    <w:p w:rsidR="003533FC" w:rsidRDefault="003533FC" w:rsidP="003533FC">
      <w:pPr>
        <w:pStyle w:val="FootnoteText"/>
        <w:jc w:val="both"/>
      </w:pPr>
      <w:r>
        <w:t>b) Các quy định pháp luật về bảo vệ môi trường;</w:t>
      </w:r>
    </w:p>
    <w:p w:rsidR="003533FC" w:rsidRDefault="003533FC" w:rsidP="003533FC">
      <w:pPr>
        <w:pStyle w:val="FootnoteText"/>
        <w:jc w:val="both"/>
      </w:pPr>
      <w:r>
        <w:t>c) Các quy định pháp luật về bảo vệ quyền dân sự của nhóm yếu thế: bao gồm bảo vệ quyền của nhóm người đồng tính, song tính, chuyển giới, liên giới (LGBTI); bảo vệ quyền của người khuyết tật; bảo vệ quyền của trẻ em;</w:t>
      </w:r>
    </w:p>
    <w:p w:rsidR="003533FC" w:rsidRDefault="003533FC" w:rsidP="003533FC">
      <w:pPr>
        <w:pStyle w:val="FootnoteText"/>
        <w:jc w:val="both"/>
      </w:pPr>
      <w:r>
        <w:t xml:space="preserve">d) Các quy định pháp luật về bảo vệ quyền lợi người tiêu dùng; </w:t>
      </w:r>
    </w:p>
    <w:p w:rsidR="003533FC" w:rsidRDefault="003533FC" w:rsidP="003533FC">
      <w:pPr>
        <w:pStyle w:val="FootnoteText"/>
        <w:jc w:val="both"/>
      </w:pPr>
      <w:r>
        <w:t>đ) Các quy định pháp luật về thu hút đầu tư nước ngoài chất lượng cao (chọn lọc các dự án đầu tư nước ngoài có trách nhiệm);</w:t>
      </w:r>
    </w:p>
    <w:p w:rsidR="003533FC" w:rsidRDefault="003533FC" w:rsidP="003533FC">
      <w:pPr>
        <w:pStyle w:val="FootnoteText"/>
        <w:jc w:val="both"/>
      </w:pPr>
      <w:r>
        <w:t>e) Quy định khác có liên quan.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E03959"/>
    <w:multiLevelType w:val="hybridMultilevel"/>
    <w:tmpl w:val="C666F2F2"/>
    <w:lvl w:ilvl="0" w:tplc="B2561C0E">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58C"/>
    <w:rsid w:val="0000366F"/>
    <w:rsid w:val="00083192"/>
    <w:rsid w:val="000C2E88"/>
    <w:rsid w:val="00112E98"/>
    <w:rsid w:val="00121BFA"/>
    <w:rsid w:val="00171323"/>
    <w:rsid w:val="003533FC"/>
    <w:rsid w:val="003A0743"/>
    <w:rsid w:val="003F7A5F"/>
    <w:rsid w:val="0043174B"/>
    <w:rsid w:val="00447660"/>
    <w:rsid w:val="00463DB3"/>
    <w:rsid w:val="004D2D1B"/>
    <w:rsid w:val="00536379"/>
    <w:rsid w:val="006402D4"/>
    <w:rsid w:val="007F7AEA"/>
    <w:rsid w:val="00892A9C"/>
    <w:rsid w:val="00897DFC"/>
    <w:rsid w:val="008E1615"/>
    <w:rsid w:val="00932AFB"/>
    <w:rsid w:val="009B18AE"/>
    <w:rsid w:val="00AB13B0"/>
    <w:rsid w:val="00B2655E"/>
    <w:rsid w:val="00D24387"/>
    <w:rsid w:val="00D25852"/>
    <w:rsid w:val="00D7196D"/>
    <w:rsid w:val="00D86A1E"/>
    <w:rsid w:val="00DB0156"/>
    <w:rsid w:val="00DC2CA9"/>
    <w:rsid w:val="00E4558C"/>
    <w:rsid w:val="00E47D15"/>
    <w:rsid w:val="00EB2594"/>
    <w:rsid w:val="00EE33FA"/>
    <w:rsid w:val="00F31DA7"/>
    <w:rsid w:val="00F36847"/>
    <w:rsid w:val="00F623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5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6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379"/>
    <w:rPr>
      <w:rFonts w:ascii="Segoe UI" w:hAnsi="Segoe UI" w:cs="Segoe UI"/>
      <w:sz w:val="18"/>
      <w:szCs w:val="18"/>
    </w:rPr>
  </w:style>
  <w:style w:type="paragraph" w:styleId="ListParagraph">
    <w:name w:val="List Paragraph"/>
    <w:basedOn w:val="Normal"/>
    <w:uiPriority w:val="34"/>
    <w:qFormat/>
    <w:rsid w:val="003533FC"/>
    <w:pPr>
      <w:ind w:left="720"/>
      <w:contextualSpacing/>
    </w:pPr>
  </w:style>
  <w:style w:type="paragraph" w:styleId="FootnoteText">
    <w:name w:val="footnote text"/>
    <w:basedOn w:val="Normal"/>
    <w:link w:val="FootnoteTextChar"/>
    <w:uiPriority w:val="99"/>
    <w:semiHidden/>
    <w:unhideWhenUsed/>
    <w:rsid w:val="003533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33FC"/>
    <w:rPr>
      <w:sz w:val="20"/>
      <w:szCs w:val="20"/>
    </w:rPr>
  </w:style>
  <w:style w:type="character" w:styleId="FootnoteReference">
    <w:name w:val="footnote reference"/>
    <w:basedOn w:val="DefaultParagraphFont"/>
    <w:uiPriority w:val="99"/>
    <w:semiHidden/>
    <w:unhideWhenUsed/>
    <w:rsid w:val="003533F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5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6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379"/>
    <w:rPr>
      <w:rFonts w:ascii="Segoe UI" w:hAnsi="Segoe UI" w:cs="Segoe UI"/>
      <w:sz w:val="18"/>
      <w:szCs w:val="18"/>
    </w:rPr>
  </w:style>
  <w:style w:type="paragraph" w:styleId="ListParagraph">
    <w:name w:val="List Paragraph"/>
    <w:basedOn w:val="Normal"/>
    <w:uiPriority w:val="34"/>
    <w:qFormat/>
    <w:rsid w:val="003533FC"/>
    <w:pPr>
      <w:ind w:left="720"/>
      <w:contextualSpacing/>
    </w:pPr>
  </w:style>
  <w:style w:type="paragraph" w:styleId="FootnoteText">
    <w:name w:val="footnote text"/>
    <w:basedOn w:val="Normal"/>
    <w:link w:val="FootnoteTextChar"/>
    <w:uiPriority w:val="99"/>
    <w:semiHidden/>
    <w:unhideWhenUsed/>
    <w:rsid w:val="003533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33FC"/>
    <w:rPr>
      <w:sz w:val="20"/>
      <w:szCs w:val="20"/>
    </w:rPr>
  </w:style>
  <w:style w:type="character" w:styleId="FootnoteReference">
    <w:name w:val="footnote reference"/>
    <w:basedOn w:val="DefaultParagraphFont"/>
    <w:uiPriority w:val="99"/>
    <w:semiHidden/>
    <w:unhideWhenUsed/>
    <w:rsid w:val="003533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111610">
      <w:bodyDiv w:val="1"/>
      <w:marLeft w:val="0"/>
      <w:marRight w:val="0"/>
      <w:marTop w:val="0"/>
      <w:marBottom w:val="0"/>
      <w:divBdr>
        <w:top w:val="none" w:sz="0" w:space="0" w:color="auto"/>
        <w:left w:val="none" w:sz="0" w:space="0" w:color="auto"/>
        <w:bottom w:val="none" w:sz="0" w:space="0" w:color="auto"/>
        <w:right w:val="none" w:sz="0" w:space="0" w:color="auto"/>
      </w:divBdr>
    </w:div>
    <w:div w:id="127621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8E74ED-83FE-471A-A6D2-3B986D884AFA}">
  <ds:schemaRefs>
    <ds:schemaRef ds:uri="http://schemas.openxmlformats.org/officeDocument/2006/bibliography"/>
  </ds:schemaRefs>
</ds:datastoreItem>
</file>

<file path=customXml/itemProps2.xml><?xml version="1.0" encoding="utf-8"?>
<ds:datastoreItem xmlns:ds="http://schemas.openxmlformats.org/officeDocument/2006/customXml" ds:itemID="{D6D90305-7FD8-4112-995C-1DA232C91C7A}"/>
</file>

<file path=customXml/itemProps3.xml><?xml version="1.0" encoding="utf-8"?>
<ds:datastoreItem xmlns:ds="http://schemas.openxmlformats.org/officeDocument/2006/customXml" ds:itemID="{01129209-F0C9-42CE-B5D7-6469AA148482}"/>
</file>

<file path=customXml/itemProps4.xml><?xml version="1.0" encoding="utf-8"?>
<ds:datastoreItem xmlns:ds="http://schemas.openxmlformats.org/officeDocument/2006/customXml" ds:itemID="{D627FB9B-86BC-416A-BAE9-6EAE9EEDDDDB}"/>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Rockernight</cp:lastModifiedBy>
  <cp:revision>3</cp:revision>
  <cp:lastPrinted>2021-07-26T02:55:00Z</cp:lastPrinted>
  <dcterms:created xsi:type="dcterms:W3CDTF">2021-07-28T08:39:00Z</dcterms:created>
  <dcterms:modified xsi:type="dcterms:W3CDTF">2021-07-28T08:39:00Z</dcterms:modified>
</cp:coreProperties>
</file>